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start="5954"/>
        <w:jc w:val="center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cs="Times New Roman" w:ascii="Times New Roman" w:hAnsi="Times New Roman"/>
          <w:bCs/>
        </w:rPr>
        <w:t>УТВЕРЖДЕН</w:t>
      </w:r>
    </w:p>
    <w:p>
      <w:pPr>
        <w:pStyle w:val="BodyText"/>
        <w:spacing w:before="0" w:after="0"/>
        <w:ind w:start="567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протоколом заседания комиссии по повышению качества предоставления государственных и муниципальных услуг на территории Нижегородской области</w:t>
      </w:r>
    </w:p>
    <w:p>
      <w:pPr>
        <w:pStyle w:val="BodyText"/>
        <w:spacing w:before="0" w:after="0"/>
        <w:ind w:start="567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«28» апреля 2026 года № Сл-001-440863/26</w:t>
      </w:r>
    </w:p>
    <w:p>
      <w:pPr>
        <w:pStyle w:val="BodyText"/>
        <w:spacing w:before="0" w:after="0"/>
        <w:ind w:start="567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Типовой перечень муниципальных услуг, предоставляемых органами местного самоуправления Нижегородской области и подведомственными им организациями </w:t>
      </w:r>
    </w:p>
    <w:tbl>
      <w:tblPr>
        <w:tblW w:w="9586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 w:val="04a0"/>
      </w:tblPr>
      <w:tblGrid>
        <w:gridCol w:w="885"/>
        <w:gridCol w:w="8701"/>
      </w:tblGrid>
      <w:tr>
        <w:trPr/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Heading3"/>
              <w:numPr>
                <w:ilvl w:val="2"/>
                <w:numId w:val="1"/>
              </w:numPr>
              <w:spacing w:before="14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user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услуги</w:t>
            </w:r>
          </w:p>
        </w:tc>
      </w:tr>
      <w:tr>
        <w:trPr/>
        <w:tc>
          <w:tcPr>
            <w:tcW w:w="9586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Услуги в сфере земельных отношений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>
        <w:trPr>
          <w:trHeight w:val="1371" w:hRule="atLeast"/>
        </w:trPr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Перераспределение земель и (или) земельных участков, находящихся в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муниципальной собственности, земель и (или) земельных участков,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Предварительное согласование предоставления земельного участка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Установление публичного сервитута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гражданину или юридическому лицу в собственность бесплатно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решения об использовании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</w:tr>
      <w:tr>
        <w:trPr>
          <w:trHeight w:val="276" w:hRule="atLeast"/>
        </w:trPr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</w:tr>
      <w:tr>
        <w:trPr/>
        <w:tc>
          <w:tcPr>
            <w:tcW w:w="9586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LineNumbers/>
              <w:ind w:start="340" w:end="454"/>
              <w:jc w:val="center"/>
              <w:rPr>
                <w:rFonts w:hint="eastAsia"/>
                <w:b/>
              </w:rPr>
            </w:pPr>
            <w:r>
              <w:rPr>
                <w:rFonts w:ascii="Times New Roman" w:hAnsi="Times New Roman"/>
                <w:b/>
              </w:rPr>
              <w:t>Услуги в сфере имущества и недвижимости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</w:tr>
      <w:tr>
        <w:trPr>
          <w:trHeight w:val="276" w:hRule="atLeast"/>
        </w:trPr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</w:tr>
      <w:tr>
        <w:trPr/>
        <w:tc>
          <w:tcPr>
            <w:tcW w:w="95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LineNumbers/>
              <w:ind w:start="340" w:end="45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Услуги в сфере образования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отдыха детей в каникулярное время (оздоровительно-образовательные центры (лагеря))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ind w:hanging="0"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Запись в творческие объединения и спортивные секции</w:t>
            </w:r>
          </w:p>
        </w:tc>
      </w:tr>
      <w:tr>
        <w:trPr/>
        <w:tc>
          <w:tcPr>
            <w:tcW w:w="9586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ind w:start="340" w:end="45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Услуги в сфере градостроительства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на ввод объекта в эксплуатацию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информационной вывески, согласование дизайн-проекта размещения вывески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Признание садового дома жилым домом и жилого дома садовым домом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утверждение документации по планировке территории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градостроительного плана земельного участка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Присвоение адреса объекту адресации, изменение и аннулирование такого адреса</w:t>
            </w:r>
          </w:p>
        </w:tc>
      </w:tr>
      <w:tr>
        <w:trPr/>
        <w:tc>
          <w:tcPr>
            <w:tcW w:w="9586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tabs>
                <w:tab w:val="clear" w:pos="709"/>
                <w:tab w:val="left" w:pos="614" w:leader="none"/>
              </w:tabs>
              <w:ind w:start="340" w:end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1F1F1F"/>
              </w:rPr>
              <w:t>Услуги в сфере жилищных отношений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Принятие на учет граждан в качестве нуждающихся в жилых помещениях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жилого помещения по договору социального найма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Предоставление жилого помещения специализированного жилищного фонда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информации, предусмотренной Жилищным кодексом Российской Федерации, в сфере управления многоквартирными домами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>
        <w:trPr/>
        <w:tc>
          <w:tcPr>
            <w:tcW w:w="9586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tabs>
                <w:tab w:val="clear" w:pos="709"/>
                <w:tab w:val="left" w:pos="614" w:leader="none"/>
              </w:tabs>
              <w:ind w:start="340" w:end="454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Услуги в сфере предпринимательства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(дубликата или копии разрешения) на право организации розничного рынка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на право организации ярмарки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Заключение договора на размещение нестационарных торговых объектов</w:t>
            </w:r>
          </w:p>
        </w:tc>
      </w:tr>
      <w:tr>
        <w:trPr/>
        <w:tc>
          <w:tcPr>
            <w:tcW w:w="9586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LineNumbers/>
              <w:tabs>
                <w:tab w:val="clear" w:pos="709"/>
                <w:tab w:val="left" w:pos="767" w:leader="none"/>
              </w:tabs>
              <w:ind w:start="340" w:end="454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Иные услуги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разрешения на вступление в брак несовершеннолетним, достигшим возраста 16 лет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разрешений на право вырубки зеленых насаждений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разрешения на осуществление земляных работ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разрешение на проведение работ по созданию искусственного земельного участка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Включение в реестр мест (площадок) накопления твердых коммунальных отходов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Внесение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 25 кг),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Присвоение квалификационных категорий спортивных судей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Присвоение спортивных разрядов</w:t>
            </w:r>
          </w:p>
        </w:tc>
      </w:tr>
      <w:tr>
        <w:trPr/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Исполнение запросов муниципальными архивами Нижегородской области на получение архивных справок, архивных выписок и архивных копий</w:t>
            </w:r>
          </w:p>
        </w:tc>
      </w:tr>
      <w:tr>
        <w:trPr>
          <w:trHeight w:val="276" w:hRule="atLeast"/>
        </w:trPr>
        <w:tc>
          <w:tcPr>
            <w:tcW w:w="88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1"/>
              <w:numPr>
                <w:ilvl w:val="0"/>
                <w:numId w:val="2"/>
              </w:numPr>
              <w:tabs>
                <w:tab w:val="clear" w:pos="709"/>
                <w:tab w:val="left" w:pos="614" w:leader="none"/>
              </w:tabs>
              <w:ind w:hanging="0" w:start="340" w:end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70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end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участка земли для размещения места захоронения на кладбищах</w:t>
            </w:r>
          </w:p>
        </w:tc>
      </w:tr>
    </w:tbl>
    <w:p>
      <w:pPr>
        <w:pStyle w:val="Normal"/>
        <w:rPr>
          <w:rFonts w:hint="eastAsia"/>
        </w:rPr>
      </w:pPr>
      <w:r>
        <w:rPr>
          <w:rFonts w:hint="eastAsia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1069"/>
        </w:tabs>
        <w:ind w:start="1069" w:hanging="360"/>
      </w:pPr>
      <w:rPr/>
    </w:lvl>
    <w:lvl w:ilvl="1">
      <w:start w:val="1"/>
      <w:numFmt w:val="decimal"/>
      <w:lvlText w:val="%2."/>
      <w:lvlJc w:val="start"/>
      <w:pPr>
        <w:tabs>
          <w:tab w:val="num" w:pos="1307"/>
        </w:tabs>
        <w:ind w:start="1307" w:hanging="360"/>
      </w:pPr>
      <w:rPr/>
    </w:lvl>
    <w:lvl w:ilvl="2">
      <w:start w:val="1"/>
      <w:numFmt w:val="decimal"/>
      <w:lvlText w:val="%3."/>
      <w:lvlJc w:val="start"/>
      <w:pPr>
        <w:tabs>
          <w:tab w:val="num" w:pos="1667"/>
        </w:tabs>
        <w:ind w:start="1667" w:hanging="360"/>
      </w:pPr>
      <w:rPr/>
    </w:lvl>
    <w:lvl w:ilvl="3">
      <w:start w:val="1"/>
      <w:numFmt w:val="decimal"/>
      <w:lvlText w:val="%4."/>
      <w:lvlJc w:val="start"/>
      <w:pPr>
        <w:tabs>
          <w:tab w:val="num" w:pos="2027"/>
        </w:tabs>
        <w:ind w:start="2027" w:hanging="360"/>
      </w:pPr>
      <w:rPr/>
    </w:lvl>
    <w:lvl w:ilvl="4">
      <w:start w:val="1"/>
      <w:numFmt w:val="decimal"/>
      <w:lvlText w:val="%5."/>
      <w:lvlJc w:val="start"/>
      <w:pPr>
        <w:tabs>
          <w:tab w:val="num" w:pos="2387"/>
        </w:tabs>
        <w:ind w:start="2387" w:hanging="360"/>
      </w:pPr>
      <w:rPr/>
    </w:lvl>
    <w:lvl w:ilvl="5">
      <w:start w:val="1"/>
      <w:numFmt w:val="decimal"/>
      <w:lvlText w:val="%6."/>
      <w:lvlJc w:val="start"/>
      <w:pPr>
        <w:tabs>
          <w:tab w:val="num" w:pos="2747"/>
        </w:tabs>
        <w:ind w:start="2747" w:hanging="360"/>
      </w:pPr>
      <w:rPr/>
    </w:lvl>
    <w:lvl w:ilvl="6">
      <w:start w:val="1"/>
      <w:numFmt w:val="decimal"/>
      <w:lvlText w:val="%7."/>
      <w:lvlJc w:val="start"/>
      <w:pPr>
        <w:tabs>
          <w:tab w:val="num" w:pos="3107"/>
        </w:tabs>
        <w:ind w:start="3107" w:hanging="360"/>
      </w:pPr>
      <w:rPr/>
    </w:lvl>
    <w:lvl w:ilvl="7">
      <w:start w:val="1"/>
      <w:numFmt w:val="decimal"/>
      <w:lvlText w:val="%8."/>
      <w:lvlJc w:val="start"/>
      <w:pPr>
        <w:tabs>
          <w:tab w:val="num" w:pos="3467"/>
        </w:tabs>
        <w:ind w:start="3467" w:hanging="360"/>
      </w:pPr>
      <w:rPr/>
    </w:lvl>
    <w:lvl w:ilvl="8">
      <w:start w:val="1"/>
      <w:numFmt w:val="decimal"/>
      <w:lvlText w:val="%9."/>
      <w:lvlJc w:val="start"/>
      <w:pPr>
        <w:tabs>
          <w:tab w:val="num" w:pos="3827"/>
        </w:tabs>
        <w:ind w:start="3827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11"/>
    <w:next w:val="BodyText"/>
    <w:link w:val="3"/>
    <w:qFormat/>
    <w:pPr>
      <w:spacing w:before="140" w:after="12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1" w:customStyle="1">
    <w:name w:val="Текст сноски Знак"/>
    <w:uiPriority w:val="99"/>
    <w:qFormat/>
    <w:rPr>
      <w:sz w:val="18"/>
    </w:rPr>
  </w:style>
  <w:style w:type="character" w:styleId="Style12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" w:customStyle="1">
    <w:name w:val="Символ нумерации (user)"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Pr>
      <w:rFonts w:cs="Mangal"/>
      <w:sz w:val="20"/>
      <w:szCs w:val="18"/>
    </w:rPr>
  </w:style>
  <w:style w:type="character" w:styleId="Style16" w:customStyle="1">
    <w:name w:val="Тема примечания Знак"/>
    <w:basedOn w:val="Style15"/>
    <w:uiPriority w:val="99"/>
    <w:semiHidden/>
    <w:qFormat/>
    <w:rPr>
      <w:rFonts w:cs="Mangal"/>
      <w:b/>
      <w:bCs/>
      <w:sz w:val="20"/>
      <w:szCs w:val="18"/>
    </w:rPr>
  </w:style>
  <w:style w:type="character" w:styleId="Style17" w:customStyle="1">
    <w:name w:val="Текст выноски Знак"/>
    <w:basedOn w:val="DefaultParagraphFont"/>
    <w:uiPriority w:val="99"/>
    <w:semiHidden/>
    <w:qFormat/>
    <w:rPr>
      <w:rFonts w:ascii="Tahoma" w:hAnsi="Tahoma" w:cs="Mangal"/>
      <w:sz w:val="16"/>
      <w:szCs w:val="1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link w:val="Style10"/>
    <w:qFormat/>
    <w:pPr>
      <w:suppressLineNumbers/>
      <w:spacing w:before="120" w:after="120"/>
    </w:pPr>
    <w:rPr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0"/>
      <w:sz w:val="24"/>
      <w:szCs w:val="24"/>
      <w:lang w:val="ru-RU" w:eastAsia="zh-CN" w:bidi="hi-IN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1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3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0"/>
      <w:sz w:val="24"/>
      <w:szCs w:val="24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user1" w:customStyle="1">
    <w:name w:val="Содержимое таблицы (user)"/>
    <w:basedOn w:val="Normal"/>
    <w:qFormat/>
    <w:pPr>
      <w:suppressLineNumbers/>
    </w:pPr>
    <w:rPr/>
  </w:style>
  <w:style w:type="paragraph" w:styleId="CommentText">
    <w:name w:val="annotation text"/>
    <w:basedOn w:val="Normal"/>
    <w:uiPriority w:val="99"/>
    <w:semiHidden/>
    <w:unhideWhenUsed/>
    <w:qFormat/>
    <w:pPr/>
    <w:rPr>
      <w:rFonts w:cs="Mangal"/>
      <w:sz w:val="20"/>
      <w:szCs w:val="18"/>
    </w:rPr>
  </w:style>
  <w:style w:type="paragraph" w:styleId="annotationsubject">
    <w:name w:val="annotation subject"/>
    <w:basedOn w:val="CommentText"/>
    <w:next w:val="CommentText"/>
    <w:uiPriority w:val="99"/>
    <w:semiHidden/>
    <w:unhideWhenUsed/>
    <w:qFormat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Mangal"/>
      <w:sz w:val="16"/>
      <w:szCs w:val="14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LibreOffice/25.8.5.2$Windows_X86_64 LibreOffice_project/9c8b85f387cc00a89945a79c9e6239f32e450ac2</Application>
  <AppVersion>15.0000</AppVersion>
  <Pages>4</Pages>
  <Words>1040</Words>
  <Characters>7882</Characters>
  <CharactersWithSpaces>8788</CharactersWithSpaces>
  <Paragraphs>135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2026-05-18T09:12:00Z</dcterms:created>
  <dc:creator>Борисова Елена Александровна</dc:creator>
  <dc:description/>
  <dc:language>ru-RU</dc:language>
  <cp:lastModifiedBy>Борисова Елена Александровна</cp:lastModifiedBy>
  <dcterms:modified xsi:type="dcterms:W3CDTF">2026-05-18T09:12:00Z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